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7975" w14:textId="77777777" w:rsidR="009A32FE" w:rsidRPr="009A32FE" w:rsidRDefault="005B4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FE">
        <w:rPr>
          <w:rFonts w:ascii="Times New Roman" w:hAnsi="Times New Roman" w:cs="Times New Roman"/>
          <w:b/>
          <w:sz w:val="24"/>
          <w:szCs w:val="24"/>
        </w:rPr>
        <w:t>TEMATICA</w:t>
      </w:r>
    </w:p>
    <w:p w14:paraId="74BB38E1" w14:textId="5DBAAAB5" w:rsidR="003C4D60" w:rsidRPr="009A32FE" w:rsidRDefault="009A3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FE">
        <w:rPr>
          <w:rFonts w:ascii="Times New Roman" w:hAnsi="Times New Roman" w:cs="Times New Roman"/>
          <w:b/>
          <w:sz w:val="24"/>
          <w:szCs w:val="24"/>
        </w:rPr>
        <w:t xml:space="preserve"> pentru examenul de medic specialist</w:t>
      </w:r>
    </w:p>
    <w:p w14:paraId="4D81FB1C" w14:textId="6891D63B" w:rsidR="003C4D60" w:rsidRPr="009A32FE" w:rsidRDefault="009A3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FE">
        <w:rPr>
          <w:rFonts w:ascii="Times New Roman" w:hAnsi="Times New Roman" w:cs="Times New Roman"/>
          <w:b/>
          <w:sz w:val="24"/>
          <w:szCs w:val="24"/>
        </w:rPr>
        <w:t xml:space="preserve">în specialitatea </w:t>
      </w:r>
      <w:r w:rsidR="005B4B15" w:rsidRPr="009A32FE">
        <w:rPr>
          <w:rFonts w:ascii="Times New Roman" w:hAnsi="Times New Roman" w:cs="Times New Roman"/>
          <w:b/>
          <w:sz w:val="24"/>
          <w:szCs w:val="24"/>
        </w:rPr>
        <w:t>MEDICINA DE LABORATOR</w:t>
      </w:r>
    </w:p>
    <w:p w14:paraId="0E8B4641" w14:textId="77777777" w:rsidR="003C4D60" w:rsidRDefault="003C4D60">
      <w:pPr>
        <w:rPr>
          <w:rFonts w:ascii="Arial Narrow" w:hAnsi="Arial Narrow"/>
          <w:b/>
          <w:sz w:val="24"/>
          <w:szCs w:val="24"/>
        </w:rPr>
      </w:pPr>
    </w:p>
    <w:p w14:paraId="1012E05E" w14:textId="77777777" w:rsidR="003C4D60" w:rsidRDefault="005B4B1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PROBA SCRISA </w:t>
      </w:r>
    </w:p>
    <w:p w14:paraId="3F3624D4" w14:textId="77777777" w:rsidR="003C4D60" w:rsidRDefault="005B4B15">
      <w:pPr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 – IV. TREI PROBE PRACTICE</w:t>
      </w:r>
    </w:p>
    <w:p w14:paraId="1B2FB914" w14:textId="77777777" w:rsidR="003C4D60" w:rsidRDefault="003C4D60">
      <w:pPr>
        <w:pStyle w:val="ListParagraph"/>
        <w:ind w:left="1080"/>
        <w:rPr>
          <w:rFonts w:ascii="Arial Narrow" w:hAnsi="Arial Narrow"/>
          <w:sz w:val="24"/>
          <w:szCs w:val="24"/>
        </w:rPr>
      </w:pPr>
    </w:p>
    <w:p w14:paraId="10DBE280" w14:textId="77777777" w:rsidR="003C4D60" w:rsidRDefault="005B4B15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PROBA SCRISA – 10 subiecte distribuite dupa cum urmeaza:</w:t>
      </w:r>
    </w:p>
    <w:p w14:paraId="5E8CFEBF" w14:textId="77777777" w:rsidR="003C4D60" w:rsidRDefault="003C4D60">
      <w:pPr>
        <w:pStyle w:val="ListParagraph"/>
        <w:ind w:left="780"/>
        <w:rPr>
          <w:rFonts w:ascii="Arial Narrow" w:hAnsi="Arial Narrow"/>
          <w:b/>
          <w:sz w:val="24"/>
          <w:szCs w:val="24"/>
        </w:rPr>
      </w:pPr>
    </w:p>
    <w:p w14:paraId="6215D2B5" w14:textId="77777777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ORGANIZAREA ȘI MANAGEMENTUL LABORATORULUI DE ANALIZE MEDICALE – 1 subiect din:</w:t>
      </w:r>
    </w:p>
    <w:p w14:paraId="7A41441D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1.1. Normele de funcţionare a laboratoarelor de analize medicale </w:t>
      </w:r>
    </w:p>
    <w:p w14:paraId="6C4EBC86" w14:textId="134BF43C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4C66A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Sistemul de management al calităţii</w:t>
      </w:r>
    </w:p>
    <w:p w14:paraId="23A35EDC" w14:textId="7369490B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4C66A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. Managementul datelor. Sistemul informatic al laboratorului medical. Etica şi confidenţialitatea în laboratorul de analize medicale. </w:t>
      </w:r>
    </w:p>
    <w:p w14:paraId="4D7AF344" w14:textId="68FF334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4C66A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Biosiguranţa şi biosecuritatea laboratorului de analize medicale</w:t>
      </w:r>
    </w:p>
    <w:p w14:paraId="00D34D47" w14:textId="77777777" w:rsidR="003C4D60" w:rsidRDefault="003C4D60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45483A8A" w14:textId="77777777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BIOCHIMIE – 3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subiecte din:</w:t>
      </w:r>
    </w:p>
    <w:p w14:paraId="7EFA9E3E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2.1. Aminoacizi si proteine – structura, metabolism, diagnosticul principalelor disproteinemii</w:t>
      </w:r>
    </w:p>
    <w:p w14:paraId="6F959B38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Glucide– structura, metabolism, diagnosticul si monitorizarea diabetului zaharat </w:t>
      </w:r>
    </w:p>
    <w:p w14:paraId="5970A65C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Lipide, lipoproteine - structura, metabolism, diagnosticul hiperlipoproteinemiilor primare si secundare</w:t>
      </w:r>
    </w:p>
    <w:p w14:paraId="51AAEA5E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2.4. Enzime - structura enzimelor – izoenzime - notiuni de cinetica enzimatica </w:t>
      </w:r>
    </w:p>
    <w:p w14:paraId="1ABB1935" w14:textId="17352953" w:rsidR="00230AAE" w:rsidRPr="00230AAE" w:rsidRDefault="005B4B15" w:rsidP="00230AAE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2.5. Vitamine</w:t>
      </w:r>
      <w:r w:rsidR="00230AAE">
        <w:rPr>
          <w:rFonts w:ascii="Arial Narrow" w:hAnsi="Arial Narrow" w:cs="TimesNewRoman"/>
          <w:sz w:val="24"/>
          <w:szCs w:val="24"/>
        </w:rPr>
        <w:t>:</w:t>
      </w:r>
      <w:r>
        <w:rPr>
          <w:rFonts w:ascii="Arial Narrow" w:hAnsi="Arial Narrow" w:cs="TimesNewRoman"/>
          <w:sz w:val="24"/>
          <w:szCs w:val="24"/>
        </w:rPr>
        <w:t xml:space="preserve"> </w:t>
      </w:r>
      <w:r w:rsidR="00230AAE" w:rsidRPr="00230AAE">
        <w:rPr>
          <w:rFonts w:ascii="Arial Narrow" w:hAnsi="Arial Narrow" w:cs="TimesNewRoman"/>
          <w:sz w:val="24"/>
          <w:szCs w:val="24"/>
        </w:rPr>
        <w:t xml:space="preserve">structura, metabolism, diagnosticul de laborator al hipo- si hipervitaminozelor </w:t>
      </w:r>
    </w:p>
    <w:p w14:paraId="57D9638A" w14:textId="13085139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 xml:space="preserve">2.6. Hormoni: Hipotalamo-Hipofizari, Tiroidieni, </w:t>
      </w:r>
      <w:r w:rsidR="00DE788F">
        <w:rPr>
          <w:rFonts w:ascii="Arial Narrow" w:hAnsi="Arial Narrow" w:cs="TimesNewRoman"/>
          <w:sz w:val="24"/>
          <w:szCs w:val="24"/>
        </w:rPr>
        <w:t xml:space="preserve">Reglatori ai metabolismului calciului, Suprarenalieni, Pancreatici, </w:t>
      </w:r>
      <w:r w:rsidR="00505F9F">
        <w:rPr>
          <w:rFonts w:ascii="Arial Narrow" w:hAnsi="Arial Narrow" w:cs="TimesNewRoman"/>
          <w:sz w:val="24"/>
          <w:szCs w:val="24"/>
        </w:rPr>
        <w:t xml:space="preserve">Sexuali. </w:t>
      </w:r>
      <w:r w:rsidR="00DE788F">
        <w:rPr>
          <w:rFonts w:ascii="Arial Narrow" w:hAnsi="Arial Narrow" w:cs="TimesNewRoman"/>
          <w:sz w:val="24"/>
          <w:szCs w:val="24"/>
        </w:rPr>
        <w:t>Sistemul APUD.</w:t>
      </w:r>
    </w:p>
    <w:p w14:paraId="49CC7741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2.7. Apa şi electroliţi – investigarea echilibrului hidro-electrolitic si acido-bazic</w:t>
      </w:r>
    </w:p>
    <w:p w14:paraId="4407D573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2.8. Modificări biochimice in patologia renală</w:t>
      </w:r>
    </w:p>
    <w:p w14:paraId="7B9478A3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2.9. Modificări biochimice in patologia hepatică.</w:t>
      </w:r>
    </w:p>
    <w:p w14:paraId="09E4F995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2.10. Modificări biochimice in patologia cardio- vasculară.</w:t>
      </w:r>
    </w:p>
    <w:p w14:paraId="2FB925DB" w14:textId="77777777" w:rsidR="00D34039" w:rsidRPr="00D34039" w:rsidRDefault="00D34039" w:rsidP="00D34039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D34039">
        <w:rPr>
          <w:rFonts w:ascii="Arial Narrow" w:hAnsi="Arial Narrow" w:cs="TimesNewRoman"/>
          <w:sz w:val="24"/>
          <w:szCs w:val="24"/>
        </w:rPr>
        <w:t>2.11. Oncogeneza.Markeri tumorali.</w:t>
      </w:r>
    </w:p>
    <w:p w14:paraId="6CEE144E" w14:textId="77777777" w:rsidR="00D34039" w:rsidRPr="00D34039" w:rsidRDefault="00D34039" w:rsidP="00D34039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D34039">
        <w:rPr>
          <w:rFonts w:ascii="Arial Narrow" w:hAnsi="Arial Narrow" w:cs="TimesNewRoman"/>
          <w:sz w:val="24"/>
          <w:szCs w:val="24"/>
        </w:rPr>
        <w:t>2.12.  Modificarile biochimice in populatia pediatrica si geriatrica – particularitati.</w:t>
      </w:r>
    </w:p>
    <w:p w14:paraId="3047800D" w14:textId="77777777" w:rsidR="003C4D60" w:rsidRDefault="003C4D60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</w:p>
    <w:p w14:paraId="42085208" w14:textId="547CB9E9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IMUNOLOGIE – </w:t>
      </w:r>
      <w:r w:rsidR="006B01AF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 subiect</w:t>
      </w:r>
      <w:r w:rsidR="006B01AF"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z w:val="24"/>
          <w:szCs w:val="24"/>
        </w:rPr>
        <w:t xml:space="preserve"> din:</w:t>
      </w:r>
    </w:p>
    <w:p w14:paraId="543FD88B" w14:textId="7777777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 </w:t>
      </w:r>
      <w:r>
        <w:rPr>
          <w:rFonts w:ascii="Arial Narrow" w:hAnsi="Arial Narrow" w:cs="TimesNewRoman,Bold"/>
          <w:bCs/>
          <w:sz w:val="24"/>
          <w:szCs w:val="24"/>
        </w:rPr>
        <w:t>Elementele celulare si umorale ale sistemului imun</w:t>
      </w:r>
    </w:p>
    <w:p w14:paraId="30632BF5" w14:textId="7777777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lastRenderedPageBreak/>
        <w:t>3.2 Raspunsul imun normal si patologic (imunodeficiente si reactii imune patologice)</w:t>
      </w:r>
    </w:p>
    <w:p w14:paraId="679A1936" w14:textId="66C8F709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t>3.3 Modularea răspunsului imun</w:t>
      </w:r>
      <w:r w:rsidR="002D0A65">
        <w:rPr>
          <w:rFonts w:ascii="Arial Narrow" w:hAnsi="Arial Narrow" w:cs="TimesNewRoman,Bold"/>
          <w:bCs/>
          <w:sz w:val="24"/>
          <w:szCs w:val="24"/>
        </w:rPr>
        <w:t xml:space="preserve">. </w:t>
      </w:r>
      <w:r w:rsidR="002D0A65" w:rsidRPr="002D0A65">
        <w:rPr>
          <w:rFonts w:ascii="Arial Narrow" w:hAnsi="Arial Narrow" w:cs="TimesNewRoman,Bold"/>
          <w:bCs/>
          <w:sz w:val="24"/>
          <w:szCs w:val="24"/>
        </w:rPr>
        <w:t>Mecanisme imunoreglatoare</w:t>
      </w:r>
      <w:r w:rsidR="002D0A65">
        <w:rPr>
          <w:rFonts w:ascii="Arial Narrow" w:hAnsi="Arial Narrow" w:cs="TimesNewRoman,Bold"/>
          <w:bCs/>
          <w:sz w:val="24"/>
          <w:szCs w:val="24"/>
        </w:rPr>
        <w:t>.</w:t>
      </w:r>
    </w:p>
    <w:p w14:paraId="1DC62A33" w14:textId="7777777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t>3.4 Imunologia tumorală. Markeri tumorali</w:t>
      </w:r>
    </w:p>
    <w:p w14:paraId="564DAA7C" w14:textId="7777777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t>3.5 Imunologia transplantului</w:t>
      </w:r>
    </w:p>
    <w:p w14:paraId="7C924D94" w14:textId="7777777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t>3.6 Boli autoimune celulare ai umorale</w:t>
      </w:r>
    </w:p>
    <w:p w14:paraId="7669F24D" w14:textId="64D62247" w:rsidR="003C4D60" w:rsidRDefault="005B4B15">
      <w:pPr>
        <w:spacing w:after="120" w:line="20" w:lineRule="atLeast"/>
        <w:rPr>
          <w:rFonts w:ascii="Arial Narrow" w:hAnsi="Arial Narrow" w:cs="TimesNewRoman,Bold"/>
          <w:bCs/>
          <w:sz w:val="24"/>
          <w:szCs w:val="24"/>
        </w:rPr>
      </w:pPr>
      <w:r>
        <w:rPr>
          <w:rFonts w:ascii="Arial Narrow" w:hAnsi="Arial Narrow" w:cs="TimesNewRoman,Bold"/>
          <w:bCs/>
          <w:sz w:val="24"/>
          <w:szCs w:val="24"/>
        </w:rPr>
        <w:t>3.7 Apărarea antiinfecțioasă</w:t>
      </w:r>
      <w:r w:rsidR="002D0A65">
        <w:rPr>
          <w:rFonts w:ascii="Arial Narrow" w:hAnsi="Arial Narrow" w:cs="TimesNewRoman,Bold"/>
          <w:bCs/>
          <w:sz w:val="24"/>
          <w:szCs w:val="24"/>
        </w:rPr>
        <w:t xml:space="preserve"> î</w:t>
      </w:r>
      <w:r w:rsidR="002D0A65" w:rsidRPr="002D0A65">
        <w:rPr>
          <w:rFonts w:ascii="Arial Narrow" w:hAnsi="Arial Narrow" w:cs="TimesNewRoman,Bold"/>
          <w:bCs/>
          <w:sz w:val="24"/>
          <w:szCs w:val="24"/>
        </w:rPr>
        <w:t>nnăscută și dobândit</w:t>
      </w:r>
      <w:r w:rsidR="002D0A65">
        <w:rPr>
          <w:rFonts w:ascii="Arial Narrow" w:hAnsi="Arial Narrow" w:cs="TimesNewRoman,Bold"/>
          <w:bCs/>
          <w:sz w:val="24"/>
          <w:szCs w:val="24"/>
        </w:rPr>
        <w:t>ă</w:t>
      </w:r>
      <w:r w:rsidR="00425531">
        <w:rPr>
          <w:rFonts w:ascii="Arial Narrow" w:hAnsi="Arial Narrow" w:cs="TimesNewRoman,Bold"/>
          <w:bCs/>
          <w:sz w:val="24"/>
          <w:szCs w:val="24"/>
        </w:rPr>
        <w:t>.</w:t>
      </w:r>
    </w:p>
    <w:p w14:paraId="59816590" w14:textId="77777777" w:rsidR="003C4D60" w:rsidRDefault="003C4D60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54222D3D" w14:textId="77777777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 BIOLOGIE MOLECULARA – 1 subiect din:</w:t>
      </w:r>
    </w:p>
    <w:p w14:paraId="3E2E5487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4.1. Dogma centrală a biologiei moleculare şi aplicaţii medicale.</w:t>
      </w:r>
    </w:p>
    <w:p w14:paraId="126D90F1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4.2. Tehnici de analiză a acizilor nucleici.</w:t>
      </w:r>
    </w:p>
    <w:p w14:paraId="105E357C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4.3. Patologia genetică a sistemului imun.</w:t>
      </w:r>
    </w:p>
    <w:p w14:paraId="093697EA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4.4. Genetica bolii canceroase</w:t>
      </w:r>
    </w:p>
    <w:p w14:paraId="0E6E9286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4.5 Boli monogenice</w:t>
      </w:r>
    </w:p>
    <w:p w14:paraId="42F7E018" w14:textId="77777777" w:rsidR="003C4D60" w:rsidRDefault="005B4B15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4.6 Boli cromozomiale</w:t>
      </w:r>
    </w:p>
    <w:p w14:paraId="3A5CC226" w14:textId="77777777" w:rsidR="003C4D60" w:rsidRDefault="003C4D60">
      <w:pPr>
        <w:spacing w:after="120" w:line="20" w:lineRule="atLeast"/>
        <w:rPr>
          <w:rFonts w:ascii="Arial Narrow" w:hAnsi="Arial Narrow" w:cs="TimesNewRoman"/>
          <w:sz w:val="24"/>
          <w:szCs w:val="24"/>
        </w:rPr>
      </w:pPr>
    </w:p>
    <w:p w14:paraId="139105F2" w14:textId="77777777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 HEMATOLOGIE – 3 subiecte din:</w:t>
      </w:r>
    </w:p>
    <w:p w14:paraId="3D9DDC19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5.1. Diagnosticul de laborator al productiei si distructiei de eritrocite. </w:t>
      </w:r>
    </w:p>
    <w:p w14:paraId="6C1173FC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5.2 Metabolismul fierului: date normale, fiziopatologie, metode de explorare in laboratorul clinic. </w:t>
      </w:r>
    </w:p>
    <w:p w14:paraId="749B80A2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5.3. Diagnosticul de laborator al hemolizei extravasculare si al hemolizei intravasculare.</w:t>
      </w:r>
    </w:p>
    <w:p w14:paraId="0CA2AAE2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5.4. Anomaliile morfologice ale hematiilor: descriere, semnificatie, metode de evidentiere. </w:t>
      </w:r>
    </w:p>
    <w:p w14:paraId="57826675" w14:textId="421E395F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5.5. Definitia, clasificarea si metodologia de identificare a urmatoarelor tipuri de anemii: hipocrome, hemolitice, megaloblastice</w:t>
      </w:r>
      <w:r w:rsidR="00736619">
        <w:rPr>
          <w:rFonts w:ascii="Arial Narrow" w:hAnsi="Arial Narrow"/>
          <w:sz w:val="24"/>
          <w:szCs w:val="24"/>
        </w:rPr>
        <w:t>, macrocitare</w:t>
      </w:r>
      <w:r>
        <w:rPr>
          <w:rFonts w:ascii="Arial Narrow" w:hAnsi="Arial Narrow"/>
          <w:sz w:val="24"/>
          <w:szCs w:val="24"/>
        </w:rPr>
        <w:t>.</w:t>
      </w:r>
    </w:p>
    <w:p w14:paraId="40A185D9" w14:textId="7D44DD1F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5.6. Definitia, clasificarea si criteriile de diagnostic ale bolilor mieloproliferative cronice: </w:t>
      </w:r>
      <w:r w:rsidR="00863DAA" w:rsidRPr="00863DAA">
        <w:rPr>
          <w:rFonts w:ascii="Arial Narrow" w:hAnsi="Arial Narrow"/>
          <w:bCs/>
          <w:sz w:val="24"/>
          <w:szCs w:val="24"/>
        </w:rPr>
        <w:t>leucemia mieloidă  cronica, mielofibroza idiopatică, Policitemia Vera, trombocitemia idiopatică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F98AC87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5.7. Definitia, clasificarea si criteriile de diagnostic ale leucemiei limfatice cronice si ale leucemiei cu celule paroase. </w:t>
      </w:r>
    </w:p>
    <w:p w14:paraId="6F1F7096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5.8. Leucemiile acute (LA): clasificarea si metodele de diagnostic (examenul morfologice, citochimia optica si ultrastructurala, imunofenotiparea, examenul citogenetic, genetica moleculara. </w:t>
      </w:r>
    </w:p>
    <w:p w14:paraId="242F1784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5.9. Sindroame mielodisplazice (SMD): definitie, clasificare, diagnosticul diferential dintre SMD si LA. </w:t>
      </w:r>
    </w:p>
    <w:p w14:paraId="3DA5E185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5.10. Coagularea si fibrinoliza: mecanisme, reglare, explorare in laboratorul clinic. </w:t>
      </w:r>
    </w:p>
    <w:p w14:paraId="1FC9787F" w14:textId="77777777" w:rsidR="003C4D60" w:rsidRDefault="005B4B15">
      <w:p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5.11. Sindroame hemoragice (SH): clasificare, metodologia diagnosticului. Se vor trata urmatoarele afectiuni: SH de cauza trombocitara, hemofiliile, boala Von Willebrand, sindromul coagularii intravasculare diseminate, fibrinoliza primara. </w:t>
      </w:r>
    </w:p>
    <w:p w14:paraId="0F205710" w14:textId="26B6C3B4" w:rsidR="003C4D60" w:rsidRDefault="005B4B15" w:rsidP="0013036B">
      <w:pPr>
        <w:spacing w:after="12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5.12. Sistemele ABO si Rh: antigene si anticorpi regulari si imuni; regulile transfuzionale de compatibilitate ABO si identitate si compatibilitate Rh; regulile imunologice ale transfuziei;</w:t>
      </w:r>
      <w:r w:rsidR="005F1018">
        <w:rPr>
          <w:rFonts w:ascii="Arial Narrow" w:hAnsi="Arial Narrow"/>
          <w:sz w:val="24"/>
          <w:szCs w:val="24"/>
        </w:rPr>
        <w:t xml:space="preserve"> </w:t>
      </w:r>
      <w:r w:rsidR="005F1018" w:rsidRPr="005F1018">
        <w:rPr>
          <w:rFonts w:ascii="Arial Narrow" w:hAnsi="Arial Narrow"/>
          <w:sz w:val="24"/>
          <w:szCs w:val="24"/>
        </w:rPr>
        <w:t>reacții adverse post-transfuzionale, accidente și incidente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6B8B9C2" w14:textId="77777777" w:rsidR="003C4D60" w:rsidRDefault="003C4D60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2D321CDD" w14:textId="77777777" w:rsidR="003C4D60" w:rsidRDefault="003C4D60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768A1E34" w14:textId="77777777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II. PROBA PRACTICA DE LABORATOR – BIOCHIMIE </w:t>
      </w:r>
    </w:p>
    <w:p w14:paraId="3F4FF847" w14:textId="741A330A" w:rsidR="00D34039" w:rsidRPr="00D34039" w:rsidRDefault="00D34039" w:rsidP="00D34039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34039">
        <w:rPr>
          <w:rFonts w:ascii="Arial Narrow" w:hAnsi="Arial Narrow"/>
          <w:sz w:val="24"/>
          <w:szCs w:val="24"/>
        </w:rPr>
        <w:t>Cunoaşterea principalelor tehnici, metode şi aparate cu aplicaţii în Laboratorul</w:t>
      </w:r>
      <w:r w:rsidR="00B042AA">
        <w:rPr>
          <w:rFonts w:ascii="Arial Narrow" w:hAnsi="Arial Narrow"/>
          <w:sz w:val="24"/>
          <w:szCs w:val="24"/>
        </w:rPr>
        <w:t xml:space="preserve">/compartimentul </w:t>
      </w:r>
      <w:r w:rsidRPr="00D34039">
        <w:rPr>
          <w:rFonts w:ascii="Arial Narrow" w:hAnsi="Arial Narrow"/>
          <w:sz w:val="24"/>
          <w:szCs w:val="24"/>
        </w:rPr>
        <w:t>de Biochimie.</w:t>
      </w:r>
      <w:r w:rsidR="001F2BA0">
        <w:rPr>
          <w:rFonts w:ascii="Arial Narrow" w:hAnsi="Arial Narrow"/>
          <w:sz w:val="24"/>
          <w:szCs w:val="24"/>
        </w:rPr>
        <w:t xml:space="preserve"> Controlul intern și controlul extern de calitate. Calibrarea.</w:t>
      </w:r>
    </w:p>
    <w:p w14:paraId="2BB5B285" w14:textId="54EAA554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Examen de urina: a) examenul calitativ al urinii b) examenul cantitativ al urinii c) examenul microscopic al sedimentului urinar. </w:t>
      </w:r>
    </w:p>
    <w:p w14:paraId="748E5515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substantelor minerale: clor, calciu, fosfor, fier, sodiu, magneziu, potasiu, </w:t>
      </w:r>
    </w:p>
    <w:p w14:paraId="1362EC62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Determinarea si interpretarea parametrilor echilibrului acido-bazic.</w:t>
      </w:r>
    </w:p>
    <w:p w14:paraId="551338DA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proteinelor sanguine: dozarea proteinelor totale, albuminei, fibrinogenului, electroforeza proteinelor serice. </w:t>
      </w:r>
    </w:p>
    <w:p w14:paraId="5D78E773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ureei, acidului uric, creatininei. </w:t>
      </w:r>
    </w:p>
    <w:p w14:paraId="025401F8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bilirubinei sanguine. </w:t>
      </w:r>
    </w:p>
    <w:p w14:paraId="6BDC3CBD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glucozei, TTGO, HbA1c. </w:t>
      </w:r>
    </w:p>
    <w:p w14:paraId="7B1320F6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Dozarea colesterolului total si a fractiunilor acestuia, a trigliceridelor. </w:t>
      </w:r>
    </w:p>
    <w:p w14:paraId="27E46957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Determinarea activitatii enzimelor serice: transaminaze (GOT si GPT), fosfataza alcalina si acida, amilaza, lactat dehidrogenaza, creatinfosfokinaza. </w:t>
      </w:r>
    </w:p>
    <w:p w14:paraId="00A9FEB5" w14:textId="77777777" w:rsidR="003C4D60" w:rsidRDefault="005B4B15">
      <w:pPr>
        <w:pStyle w:val="ListParagraph"/>
        <w:numPr>
          <w:ilvl w:val="0"/>
          <w:numId w:val="2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Examenul biochimic al LCR: dozarea de glucoza, clor, proteine. </w:t>
      </w:r>
    </w:p>
    <w:p w14:paraId="149D1FE7" w14:textId="77777777" w:rsidR="003C4D60" w:rsidRDefault="003C4D60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</w:p>
    <w:p w14:paraId="6ADD9298" w14:textId="4C575590" w:rsidR="003C4D60" w:rsidRDefault="006B01AF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</w:t>
      </w:r>
      <w:r w:rsidR="005B4B15">
        <w:rPr>
          <w:rFonts w:ascii="Arial Narrow" w:hAnsi="Arial Narrow"/>
          <w:b/>
          <w:sz w:val="24"/>
          <w:szCs w:val="24"/>
        </w:rPr>
        <w:t>II. PROBA PRACTICA DE LABORATOR – IMUNOLOGIE / BIOLOGIE MOLECULARA</w:t>
      </w:r>
    </w:p>
    <w:p w14:paraId="0BAAC7C3" w14:textId="78F11E44" w:rsidR="007C18FF" w:rsidRDefault="007C18FF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 w:rsidRPr="007C18FF">
        <w:rPr>
          <w:rFonts w:ascii="Arial Narrow" w:hAnsi="Arial Narrow" w:cs="TimesNewRoman"/>
          <w:sz w:val="24"/>
          <w:szCs w:val="24"/>
        </w:rPr>
        <w:t>Cunoaşterea principalelor tehnici, metode şi aparate cu aplicaţii în Laboratorul</w:t>
      </w:r>
      <w:r w:rsidR="00C32633">
        <w:rPr>
          <w:rFonts w:ascii="Arial Narrow" w:hAnsi="Arial Narrow" w:cs="TimesNewRoman"/>
          <w:sz w:val="24"/>
          <w:szCs w:val="24"/>
        </w:rPr>
        <w:t>/compartimentul</w:t>
      </w:r>
      <w:r w:rsidRPr="007C18FF">
        <w:rPr>
          <w:rFonts w:ascii="Arial Narrow" w:hAnsi="Arial Narrow" w:cs="TimesNewRoman"/>
          <w:sz w:val="24"/>
          <w:szCs w:val="24"/>
        </w:rPr>
        <w:t xml:space="preserve"> de </w:t>
      </w:r>
      <w:r>
        <w:rPr>
          <w:rFonts w:ascii="Arial Narrow" w:hAnsi="Arial Narrow" w:cs="TimesNewRoman"/>
          <w:sz w:val="24"/>
          <w:szCs w:val="24"/>
        </w:rPr>
        <w:t>Imunologie / Biologie moleculara</w:t>
      </w:r>
      <w:r w:rsidR="001F2BA0">
        <w:rPr>
          <w:rFonts w:ascii="Arial Narrow" w:hAnsi="Arial Narrow" w:cs="TimesNewRoman"/>
          <w:sz w:val="24"/>
          <w:szCs w:val="24"/>
        </w:rPr>
        <w:t xml:space="preserve">. </w:t>
      </w:r>
      <w:r w:rsidR="001F2BA0">
        <w:rPr>
          <w:rFonts w:ascii="Arial Narrow" w:hAnsi="Arial Narrow"/>
          <w:sz w:val="24"/>
          <w:szCs w:val="24"/>
        </w:rPr>
        <w:t>Controlul intern și controlul extern de calitate. Calibrarea.</w:t>
      </w:r>
    </w:p>
    <w:p w14:paraId="514DC6F8" w14:textId="1F7FFA1C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Extractia ADN, ARN din diferite probe biologice (sange, tesut, urina, LCR, etc.)</w:t>
      </w:r>
    </w:p>
    <w:p w14:paraId="2FD6EFFC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Tehnica PCR aplicată pentru detectarea mutaţiilor in diferite patologii medicale.</w:t>
      </w:r>
    </w:p>
    <w:p w14:paraId="63C172DB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Electroforeza ADN-ului în gel de agaroză.</w:t>
      </w:r>
    </w:p>
    <w:p w14:paraId="0F60335F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Tehnica hibridizarii produsilor de amplificare PCR</w:t>
      </w:r>
    </w:p>
    <w:p w14:paraId="789F87FE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Tehnica real time PCR</w:t>
      </w:r>
    </w:p>
    <w:p w14:paraId="1B311C3A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Tehnica de secventiere</w:t>
      </w:r>
    </w:p>
    <w:p w14:paraId="21753471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Teste imunologice</w:t>
      </w:r>
      <w:r>
        <w:rPr>
          <w:rFonts w:ascii="Arial Narrow" w:hAnsi="Arial Narrow" w:cs="TimesNewRoman"/>
          <w:sz w:val="24"/>
          <w:szCs w:val="24"/>
        </w:rPr>
        <w:t xml:space="preserve"> pentru fracţionare şi dozarea de proteine serice</w:t>
      </w:r>
      <w:r>
        <w:rPr>
          <w:rFonts w:ascii="Arial Narrow" w:hAnsi="Arial Narrow"/>
          <w:sz w:val="24"/>
          <w:szCs w:val="24"/>
        </w:rPr>
        <w:t>: aglutinarea, reactia de imunofluorescenta, ELISA, RIA, precipitarea in gel, imunoelectroforeza.</w:t>
      </w:r>
    </w:p>
    <w:p w14:paraId="2869A0E7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Estimarea cantitativă a imunoglobulinelor (Ig) din ser şi alte produse biologice.</w:t>
      </w:r>
    </w:p>
    <w:p w14:paraId="774E8D30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Teste pentru diagnosticul bolilor autoimune</w:t>
      </w:r>
      <w:r>
        <w:rPr>
          <w:rFonts w:ascii="Arial Narrow" w:hAnsi="Arial Narrow" w:cs="TimesNewRoman"/>
          <w:sz w:val="24"/>
          <w:szCs w:val="24"/>
        </w:rPr>
        <w:t xml:space="preserve"> Evidenţierea autoanticorpilor (ANA, ANCA, anticorpi anti-dsDNA, etc).</w:t>
      </w:r>
    </w:p>
    <w:p w14:paraId="1B8B7163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Identificarea şi caracterizarea crioglobulinelor.</w:t>
      </w:r>
    </w:p>
    <w:p w14:paraId="4F899BAF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Detectarea calitativă şi cantitativă a paraproteinelor.</w:t>
      </w:r>
    </w:p>
    <w:p w14:paraId="6D2675AB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Cuantificarea subclaselor de imunoglobuline.</w:t>
      </w:r>
    </w:p>
    <w:p w14:paraId="777D0CF1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Măsurarea IgE total şi specific.</w:t>
      </w:r>
    </w:p>
    <w:p w14:paraId="13666214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Măsurarea proteinelor de fază acută.</w:t>
      </w:r>
    </w:p>
    <w:p w14:paraId="59CD5BBA" w14:textId="77777777" w:rsidR="003C4D60" w:rsidRDefault="005B4B15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t>Cuantificarea componentelor complementului, incluzând calea clasică şi alternativă.</w:t>
      </w:r>
    </w:p>
    <w:p w14:paraId="3BCFCE31" w14:textId="7912EBFA" w:rsidR="003C4D60" w:rsidRDefault="005B4B15" w:rsidP="00446176">
      <w:pPr>
        <w:pStyle w:val="ListParagraph"/>
        <w:numPr>
          <w:ilvl w:val="0"/>
          <w:numId w:val="5"/>
        </w:num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lastRenderedPageBreak/>
        <w:t>Citometria în flux. Detectarea markerilor de suprafaţă şi citoplasmatici în imunodeficienţe (cuantificarea subseturilor limfocitare şi ale altor celule, imunofenotipare în boli limfoproliferative</w:t>
      </w:r>
      <w:r w:rsidR="00446176">
        <w:rPr>
          <w:rFonts w:ascii="Arial Narrow" w:hAnsi="Arial Narrow" w:cs="TimesNewRoman"/>
          <w:sz w:val="24"/>
          <w:szCs w:val="24"/>
        </w:rPr>
        <w:t>.</w:t>
      </w:r>
    </w:p>
    <w:p w14:paraId="28A12651" w14:textId="77777777" w:rsidR="00425531" w:rsidRDefault="00425531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</w:p>
    <w:p w14:paraId="2E2605D8" w14:textId="6F0EDF80" w:rsidR="003C4D60" w:rsidRDefault="005B4B15">
      <w:pPr>
        <w:spacing w:after="120" w:line="2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</w:t>
      </w:r>
      <w:r w:rsidR="006B01AF">
        <w:rPr>
          <w:rFonts w:ascii="Arial Narrow" w:hAnsi="Arial Narrow"/>
          <w:b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 xml:space="preserve">. PROBA PRACTICA DE LABORATOR - HEMATOLOGIE </w:t>
      </w:r>
    </w:p>
    <w:p w14:paraId="7170CFF0" w14:textId="067E2322" w:rsidR="007C18FF" w:rsidRDefault="005B4B15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7C18FF" w:rsidRPr="007C18FF">
        <w:rPr>
          <w:rFonts w:ascii="Arial Narrow" w:hAnsi="Arial Narrow"/>
          <w:sz w:val="24"/>
          <w:szCs w:val="24"/>
        </w:rPr>
        <w:t>Cunoaşterea principalelor tehnici, metode şi aparate cu aplicaţii în Laboratorul</w:t>
      </w:r>
      <w:r w:rsidR="00B042AA">
        <w:rPr>
          <w:rFonts w:ascii="Arial Narrow" w:hAnsi="Arial Narrow"/>
          <w:sz w:val="24"/>
          <w:szCs w:val="24"/>
        </w:rPr>
        <w:t xml:space="preserve">/ compartimentul </w:t>
      </w:r>
      <w:r w:rsidR="007C18FF" w:rsidRPr="007C18FF">
        <w:rPr>
          <w:rFonts w:ascii="Arial Narrow" w:hAnsi="Arial Narrow"/>
          <w:sz w:val="24"/>
          <w:szCs w:val="24"/>
        </w:rPr>
        <w:t xml:space="preserve">de </w:t>
      </w:r>
      <w:r w:rsidR="007C18FF">
        <w:rPr>
          <w:rFonts w:ascii="Arial Narrow" w:hAnsi="Arial Narrow"/>
          <w:sz w:val="24"/>
          <w:szCs w:val="24"/>
        </w:rPr>
        <w:t>Hematologie</w:t>
      </w:r>
      <w:r w:rsidR="001F2BA0">
        <w:rPr>
          <w:rFonts w:ascii="Arial Narrow" w:hAnsi="Arial Narrow"/>
          <w:sz w:val="24"/>
          <w:szCs w:val="24"/>
        </w:rPr>
        <w:t>. Controlul intern și controlul extern de calitate. Calibrarea.</w:t>
      </w:r>
    </w:p>
    <w:p w14:paraId="1612D580" w14:textId="77777777" w:rsidR="007C18FF" w:rsidRDefault="005B4B15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7C18FF">
        <w:rPr>
          <w:rFonts w:ascii="Arial Narrow" w:hAnsi="Arial Narrow"/>
          <w:sz w:val="24"/>
          <w:szCs w:val="24"/>
        </w:rPr>
        <w:t xml:space="preserve">Pregatirea materialului si recoltarea sangelui pentru hemograma. Coloratiile uzuale. </w:t>
      </w:r>
    </w:p>
    <w:p w14:paraId="3616B344" w14:textId="091262C0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5B4B15">
        <w:rPr>
          <w:rFonts w:ascii="Arial Narrow" w:hAnsi="Arial Narrow"/>
          <w:sz w:val="24"/>
          <w:szCs w:val="24"/>
        </w:rPr>
        <w:t xml:space="preserve">Numararea eritrocitelor, leucocitelor, trombocitelor Indici eritrocitari. </w:t>
      </w:r>
    </w:p>
    <w:p w14:paraId="1FE7FCF0" w14:textId="6BED159C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5B4B15">
        <w:rPr>
          <w:rFonts w:ascii="Arial Narrow" w:hAnsi="Arial Narrow"/>
          <w:sz w:val="24"/>
          <w:szCs w:val="24"/>
        </w:rPr>
        <w:t>. Determinarea reticulocitelor</w:t>
      </w:r>
    </w:p>
    <w:p w14:paraId="21DF56BC" w14:textId="4E687ED4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5B4B15">
        <w:rPr>
          <w:rFonts w:ascii="Arial Narrow" w:hAnsi="Arial Narrow"/>
          <w:sz w:val="24"/>
          <w:szCs w:val="24"/>
        </w:rPr>
        <w:t xml:space="preserve">. Determinarea VSH </w:t>
      </w:r>
    </w:p>
    <w:p w14:paraId="100F3215" w14:textId="5174DC5B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5B4B15">
        <w:rPr>
          <w:rFonts w:ascii="Arial Narrow" w:hAnsi="Arial Narrow"/>
          <w:sz w:val="24"/>
          <w:szCs w:val="24"/>
        </w:rPr>
        <w:t xml:space="preserve">. Examenul morfologic (examinarea si interpretarea unor frotiuri sanguine). </w:t>
      </w:r>
    </w:p>
    <w:p w14:paraId="3201038E" w14:textId="4459EF16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5B4B15">
        <w:rPr>
          <w:rFonts w:ascii="Arial Narrow" w:hAnsi="Arial Narrow"/>
          <w:sz w:val="24"/>
          <w:szCs w:val="24"/>
        </w:rPr>
        <w:t xml:space="preserve">. Mielograma. </w:t>
      </w:r>
    </w:p>
    <w:p w14:paraId="6BF233B4" w14:textId="3475ADA0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B4B15">
        <w:rPr>
          <w:rFonts w:ascii="Arial Narrow" w:hAnsi="Arial Narrow"/>
          <w:sz w:val="24"/>
          <w:szCs w:val="24"/>
        </w:rPr>
        <w:t xml:space="preserve">. Teste citochimice: FAL, peroxidaze, Sudan, esteraze, PAS, hemosiderina medulara si urinara. </w:t>
      </w:r>
    </w:p>
    <w:p w14:paraId="45B6676B" w14:textId="0F8CF93D" w:rsidR="003C4D60" w:rsidRDefault="007C18FF" w:rsidP="00BE568B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5B4B15">
        <w:rPr>
          <w:rFonts w:ascii="Arial Narrow" w:hAnsi="Arial Narrow"/>
          <w:sz w:val="24"/>
          <w:szCs w:val="24"/>
        </w:rPr>
        <w:t>. Rezistenta osmotica, autohemoliza</w:t>
      </w:r>
    </w:p>
    <w:p w14:paraId="466B0409" w14:textId="5BA3AC3B" w:rsidR="00D612B9" w:rsidRPr="00D612B9" w:rsidRDefault="007C18FF" w:rsidP="00D612B9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5B4B15">
        <w:rPr>
          <w:rFonts w:ascii="Arial Narrow" w:hAnsi="Arial Narrow"/>
          <w:sz w:val="24"/>
          <w:szCs w:val="24"/>
        </w:rPr>
        <w:t xml:space="preserve">. Determinarea grupelor sanguine; </w:t>
      </w:r>
      <w:r w:rsidR="00D612B9" w:rsidRPr="00D612B9">
        <w:rPr>
          <w:rFonts w:ascii="Arial Narrow" w:hAnsi="Arial Narrow"/>
          <w:bCs/>
          <w:sz w:val="24"/>
          <w:szCs w:val="24"/>
        </w:rPr>
        <w:t>testul Coombs direct</w:t>
      </w:r>
      <w:r w:rsidR="00D612B9">
        <w:rPr>
          <w:rFonts w:ascii="Arial Narrow" w:hAnsi="Arial Narrow"/>
          <w:bCs/>
          <w:sz w:val="24"/>
          <w:szCs w:val="24"/>
        </w:rPr>
        <w:t>;</w:t>
      </w:r>
      <w:r w:rsidR="00D612B9" w:rsidRPr="00D612B9">
        <w:rPr>
          <w:rFonts w:ascii="Arial Narrow" w:hAnsi="Arial Narrow"/>
          <w:sz w:val="24"/>
          <w:szCs w:val="24"/>
        </w:rPr>
        <w:t xml:space="preserve"> </w:t>
      </w:r>
      <w:r w:rsidR="005B4B15">
        <w:rPr>
          <w:rFonts w:ascii="Arial Narrow" w:hAnsi="Arial Narrow"/>
          <w:sz w:val="24"/>
          <w:szCs w:val="24"/>
        </w:rPr>
        <w:t xml:space="preserve">teste de compatibilitate. </w:t>
      </w:r>
      <w:r w:rsidR="00D612B9" w:rsidRPr="00D612B9">
        <w:rPr>
          <w:rFonts w:ascii="Arial Narrow" w:hAnsi="Arial Narrow"/>
          <w:bCs/>
          <w:sz w:val="24"/>
          <w:szCs w:val="24"/>
        </w:rPr>
        <w:t>Depistarea anticorpilor iregulari</w:t>
      </w:r>
      <w:r w:rsidR="00D612B9">
        <w:rPr>
          <w:rFonts w:ascii="Arial Narrow" w:hAnsi="Arial Narrow"/>
          <w:bCs/>
          <w:sz w:val="24"/>
          <w:szCs w:val="24"/>
        </w:rPr>
        <w:t>.</w:t>
      </w:r>
    </w:p>
    <w:p w14:paraId="7C0FA0D2" w14:textId="3B0A6CCB" w:rsidR="003C4D60" w:rsidRDefault="005B4B15" w:rsidP="00BE568B">
      <w:pPr>
        <w:spacing w:after="0" w:line="276" w:lineRule="auto"/>
        <w:rPr>
          <w:rFonts w:ascii="Arial Narrow" w:hAnsi="Arial Narrow"/>
          <w:strike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7C18F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. Teste pentru explorarea coagularii si fibrinolizei </w:t>
      </w:r>
    </w:p>
    <w:p w14:paraId="7E99A454" w14:textId="77777777" w:rsidR="003C4D60" w:rsidRDefault="003C4D60">
      <w:pPr>
        <w:spacing w:after="120" w:line="20" w:lineRule="atLeast"/>
        <w:rPr>
          <w:rFonts w:ascii="Arial Narrow" w:hAnsi="Arial Narrow"/>
          <w:sz w:val="24"/>
          <w:szCs w:val="24"/>
        </w:rPr>
      </w:pPr>
    </w:p>
    <w:p w14:paraId="674222A0" w14:textId="77777777" w:rsidR="003C4D60" w:rsidRDefault="003C4D60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</w:p>
    <w:p w14:paraId="6F37348E" w14:textId="77777777" w:rsidR="003C4D60" w:rsidRDefault="005B4B15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>
        <w:rPr>
          <w:rFonts w:ascii="Arial Narrow" w:hAnsi="Arial Narrow" w:cs="Times New Roman"/>
          <w:b/>
          <w:bCs/>
          <w:sz w:val="32"/>
          <w:szCs w:val="32"/>
        </w:rPr>
        <w:t xml:space="preserve">Bibliografie </w:t>
      </w:r>
    </w:p>
    <w:p w14:paraId="33E82306" w14:textId="77777777" w:rsidR="003C4D60" w:rsidRDefault="003C4D60">
      <w:pPr>
        <w:jc w:val="center"/>
        <w:rPr>
          <w:rFonts w:ascii="Arial Narrow" w:hAnsi="Arial Narrow" w:cs="Times New Roman"/>
          <w:bCs/>
          <w:sz w:val="28"/>
          <w:szCs w:val="28"/>
        </w:rPr>
      </w:pPr>
    </w:p>
    <w:p w14:paraId="6B946555" w14:textId="77777777" w:rsidR="003C4D60" w:rsidRDefault="005B4B15">
      <w:pPr>
        <w:pStyle w:val="Heading1"/>
        <w:shd w:val="clear" w:color="auto" w:fill="FFFFFF"/>
        <w:spacing w:before="270" w:after="135"/>
        <w:textAlignment w:val="baseline"/>
        <w:rPr>
          <w:rFonts w:ascii="Arial Narrow" w:hAnsi="Arial Narrow" w:cs="Times New Roman"/>
          <w:bCs/>
          <w:color w:val="3A3939"/>
          <w:sz w:val="24"/>
          <w:szCs w:val="24"/>
        </w:rPr>
      </w:pPr>
      <w:r>
        <w:rPr>
          <w:rFonts w:ascii="Arial Narrow" w:hAnsi="Arial Narrow" w:cs="Times New Roman"/>
          <w:b/>
          <w:bCs/>
          <w:color w:val="3A3939"/>
          <w:sz w:val="24"/>
          <w:szCs w:val="24"/>
        </w:rPr>
        <w:t>Biochimie clinică. Implicații practice</w:t>
      </w:r>
      <w:r>
        <w:rPr>
          <w:rFonts w:ascii="Arial Narrow" w:hAnsi="Arial Narrow" w:cs="Times New Roman"/>
          <w:bCs/>
          <w:color w:val="3A3939"/>
          <w:sz w:val="24"/>
          <w:szCs w:val="24"/>
        </w:rPr>
        <w:t>. Ediția a III-a. Vol 1 și Vol 2 - sub redacția, Minodora Dobreanu, 2015</w:t>
      </w:r>
    </w:p>
    <w:p w14:paraId="37006B03" w14:textId="77777777" w:rsidR="003C4D60" w:rsidRDefault="005B4B15">
      <w:pPr>
        <w:spacing w:line="264" w:lineRule="atLeast"/>
        <w:textAlignment w:val="baseline"/>
        <w:outlineLvl w:val="0"/>
      </w:pPr>
      <w:r>
        <w:rPr>
          <w:rFonts w:ascii="Arial Narrow" w:hAnsi="Arial Narrow" w:cs="Times New Roman"/>
          <w:b/>
          <w:sz w:val="24"/>
          <w:szCs w:val="24"/>
        </w:rPr>
        <w:t>Principles of Medical Biochemistry</w:t>
      </w:r>
      <w:r>
        <w:rPr>
          <w:rFonts w:ascii="Arial Narrow" w:hAnsi="Arial Narrow" w:cs="Times New Roman"/>
          <w:sz w:val="24"/>
          <w:szCs w:val="24"/>
        </w:rPr>
        <w:t>,</w:t>
      </w:r>
      <w:hyperlink r:id="rId5">
        <w:r>
          <w:rPr>
            <w:rStyle w:val="LegturInternet"/>
            <w:rFonts w:ascii="Arial Narrow" w:hAnsi="Arial Narrow" w:cs="Times New Roman"/>
            <w:sz w:val="24"/>
            <w:szCs w:val="24"/>
          </w:rPr>
          <w:t>Gerhard Meisenberg</w:t>
        </w:r>
      </w:hyperlink>
      <w:r>
        <w:rPr>
          <w:rFonts w:ascii="Arial Narrow" w:hAnsi="Arial Narrow" w:cs="Times New Roman"/>
          <w:sz w:val="24"/>
          <w:szCs w:val="24"/>
        </w:rPr>
        <w:t>, </w:t>
      </w:r>
      <w:hyperlink r:id="rId6">
        <w:r>
          <w:rPr>
            <w:rStyle w:val="LegturInternet"/>
            <w:rFonts w:ascii="Arial Narrow" w:hAnsi="Arial Narrow"/>
            <w:sz w:val="24"/>
            <w:szCs w:val="24"/>
          </w:rPr>
          <w:t>https://www.books-express.ro/william-h-simmons/c/916359</w:t>
        </w:r>
      </w:hyperlink>
      <w:r>
        <w:rPr>
          <w:rFonts w:ascii="Arial Narrow" w:hAnsi="Arial Narrow" w:cs="Times New Roman"/>
          <w:sz w:val="24"/>
          <w:szCs w:val="24"/>
        </w:rPr>
        <w:t>2016</w:t>
      </w:r>
    </w:p>
    <w:p w14:paraId="6C849064" w14:textId="77777777" w:rsidR="00B11993" w:rsidRPr="00B11993" w:rsidRDefault="00B11993" w:rsidP="00B11993">
      <w:pPr>
        <w:shd w:val="clear" w:color="auto" w:fill="FFFFFF"/>
        <w:spacing w:line="264" w:lineRule="atLeast"/>
        <w:textAlignment w:val="baseline"/>
        <w:outlineLvl w:val="0"/>
        <w:rPr>
          <w:rFonts w:ascii="Arial Narrow" w:hAnsi="Arial Narrow" w:cs="Times New Roman"/>
          <w:bCs/>
          <w:sz w:val="24"/>
          <w:szCs w:val="24"/>
        </w:rPr>
      </w:pPr>
      <w:r w:rsidRPr="00B11993">
        <w:rPr>
          <w:rFonts w:ascii="Arial Narrow" w:hAnsi="Arial Narrow" w:cs="Times New Roman"/>
          <w:b/>
          <w:sz w:val="24"/>
          <w:szCs w:val="24"/>
        </w:rPr>
        <w:t xml:space="preserve">Ghid de biochimie clinica in specialitatea medicina de laborator, </w:t>
      </w:r>
      <w:r w:rsidRPr="00B11993">
        <w:rPr>
          <w:rFonts w:ascii="Arial Narrow" w:hAnsi="Arial Narrow" w:cs="Times New Roman"/>
          <w:bCs/>
          <w:sz w:val="24"/>
          <w:szCs w:val="24"/>
        </w:rPr>
        <w:t>Codruta Popa, editura universitara Carol Davila, 2016</w:t>
      </w:r>
    </w:p>
    <w:p w14:paraId="34A42D10" w14:textId="77777777" w:rsidR="00B11993" w:rsidRPr="00B11993" w:rsidRDefault="00B11993" w:rsidP="00B11993">
      <w:pPr>
        <w:shd w:val="clear" w:color="auto" w:fill="FFFFFF"/>
        <w:spacing w:line="264" w:lineRule="atLeast"/>
        <w:textAlignment w:val="baseline"/>
        <w:outlineLvl w:val="0"/>
        <w:rPr>
          <w:rFonts w:ascii="Arial Narrow" w:hAnsi="Arial Narrow" w:cs="Times New Roman"/>
          <w:b/>
          <w:sz w:val="24"/>
          <w:szCs w:val="24"/>
        </w:rPr>
      </w:pPr>
      <w:r w:rsidRPr="00B11993">
        <w:rPr>
          <w:rFonts w:ascii="Arial Narrow" w:hAnsi="Arial Narrow" w:cs="Times New Roman"/>
          <w:b/>
          <w:sz w:val="24"/>
          <w:szCs w:val="24"/>
        </w:rPr>
        <w:t xml:space="preserve">Biochimie medicala.Partea I si II, </w:t>
      </w:r>
      <w:hyperlink r:id="rId7" w:history="1">
        <w:r w:rsidRPr="00B11993">
          <w:rPr>
            <w:rStyle w:val="Hyperlink"/>
            <w:rFonts w:ascii="Arial Narrow" w:hAnsi="Arial Narrow" w:cs="Times New Roman"/>
            <w:bCs/>
            <w:color w:val="auto"/>
            <w:sz w:val="24"/>
            <w:szCs w:val="24"/>
            <w:u w:val="none"/>
          </w:rPr>
          <w:t>Valeriu Atanasiu, Maria Mohora, Carmen Duta, Marilena Gilca, Corina Muscurel, Codruta Popa, Bogdana Virgolici</w:t>
        </w:r>
      </w:hyperlink>
      <w:r w:rsidRPr="00B11993">
        <w:rPr>
          <w:rFonts w:ascii="Arial Narrow" w:hAnsi="Arial Narrow" w:cs="Times New Roman"/>
          <w:bCs/>
          <w:color w:val="auto"/>
          <w:sz w:val="24"/>
          <w:szCs w:val="24"/>
        </w:rPr>
        <w:t>, editura universitara Carol Davila, 2017</w:t>
      </w:r>
    </w:p>
    <w:p w14:paraId="261612C1" w14:textId="63814901" w:rsidR="003C4D60" w:rsidRDefault="005B4B15">
      <w:pPr>
        <w:shd w:val="clear" w:color="auto" w:fill="FFFFFF"/>
        <w:spacing w:line="264" w:lineRule="atLeast"/>
        <w:textAlignment w:val="baseline"/>
        <w:outlineLvl w:val="0"/>
      </w:pPr>
      <w:r>
        <w:rPr>
          <w:rFonts w:ascii="Arial Narrow" w:hAnsi="Arial Narrow" w:cs="Times New Roman"/>
          <w:b/>
          <w:sz w:val="24"/>
          <w:szCs w:val="24"/>
        </w:rPr>
        <w:t>Medical Biochemistry,</w:t>
      </w:r>
      <w:hyperlink r:id="rId8">
        <w:r>
          <w:rPr>
            <w:rStyle w:val="LegturInternet"/>
            <w:rFonts w:ascii="Arial Narrow" w:hAnsi="Arial Narrow" w:cs="Times New Roman"/>
            <w:sz w:val="24"/>
            <w:szCs w:val="24"/>
            <w:shd w:val="clear" w:color="auto" w:fill="FFFFFF"/>
          </w:rPr>
          <w:t>John W Baynes</w:t>
        </w:r>
      </w:hyperlink>
      <w:r>
        <w:rPr>
          <w:rFonts w:ascii="Arial Narrow" w:hAnsi="Arial Narrow" w:cs="Times New Roman"/>
          <w:sz w:val="24"/>
          <w:szCs w:val="24"/>
          <w:shd w:val="clear" w:color="auto" w:fill="FFFFFF"/>
        </w:rPr>
        <w:t>, </w:t>
      </w:r>
      <w:hyperlink r:id="rId9">
        <w:r>
          <w:rPr>
            <w:rStyle w:val="LegturInternet"/>
            <w:rFonts w:ascii="Arial Narrow" w:hAnsi="Arial Narrow" w:cs="Times New Roman"/>
            <w:sz w:val="24"/>
            <w:szCs w:val="24"/>
            <w:shd w:val="clear" w:color="auto" w:fill="FFFFFF"/>
          </w:rPr>
          <w:t>Marek H. Dominiczak</w:t>
        </w:r>
      </w:hyperlink>
      <w:r>
        <w:rPr>
          <w:rFonts w:ascii="Arial Narrow" w:hAnsi="Arial Narrow" w:cs="Times New Roman"/>
          <w:sz w:val="24"/>
          <w:szCs w:val="24"/>
        </w:rPr>
        <w:t>, 2018</w:t>
      </w:r>
    </w:p>
    <w:p w14:paraId="5E6D4901" w14:textId="77777777" w:rsidR="005B4B15" w:rsidRDefault="005B4B15">
      <w:p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3CCF308D" w14:textId="77777777" w:rsidR="005B4B15" w:rsidRPr="005B4B15" w:rsidRDefault="005B4B15" w:rsidP="005B4B15">
      <w:pPr>
        <w:numPr>
          <w:ilvl w:val="0"/>
          <w:numId w:val="7"/>
        </w:num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5B4B15">
        <w:rPr>
          <w:rFonts w:ascii="Arial Narrow" w:hAnsi="Arial Narrow" w:cs="Times New Roman"/>
          <w:b/>
          <w:bCs/>
          <w:sz w:val="24"/>
          <w:szCs w:val="24"/>
        </w:rPr>
        <w:t xml:space="preserve">Hematologie clinica, sub redactia Anca Roxana Lupu, Ana Maria Vladareanu, Daniel Coriu, Editura Universitara “Carol Davila”, 2017 </w:t>
      </w:r>
    </w:p>
    <w:p w14:paraId="73867746" w14:textId="77777777" w:rsidR="005B4B15" w:rsidRPr="005B4B15" w:rsidRDefault="005B4B15" w:rsidP="005B4B15">
      <w:pPr>
        <w:numPr>
          <w:ilvl w:val="0"/>
          <w:numId w:val="7"/>
        </w:numPr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5B4B15">
        <w:rPr>
          <w:rFonts w:ascii="Arial Narrow" w:hAnsi="Arial Narrow" w:cs="Times New Roman"/>
          <w:b/>
          <w:bCs/>
          <w:sz w:val="24"/>
          <w:szCs w:val="24"/>
        </w:rPr>
        <w:lastRenderedPageBreak/>
        <w:t>Haematology, Second Edition , Gary w. Moore, Gavin Knight, Andrew Blann, Oxford University Press, 2016</w:t>
      </w:r>
    </w:p>
    <w:p w14:paraId="571B5E76" w14:textId="219691A5" w:rsidR="003C4D60" w:rsidRDefault="005B4B15">
      <w:pPr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Tratat de Medicina Interna, Hematologie</w:t>
      </w:r>
      <w:r>
        <w:rPr>
          <w:rFonts w:ascii="Arial Narrow" w:hAnsi="Arial Narrow" w:cs="Times New Roman"/>
          <w:sz w:val="24"/>
          <w:szCs w:val="24"/>
        </w:rPr>
        <w:t>, sub redactia lui  Radu Paun, coordonator Prof. Dan Colita, partea II, Editura Medicala, 1999</w:t>
      </w:r>
    </w:p>
    <w:p w14:paraId="5003ADA8" w14:textId="77777777" w:rsidR="003C4D60" w:rsidRDefault="005B4B15">
      <w:pPr>
        <w:pStyle w:val="Heading1"/>
        <w:keepLines w:val="0"/>
        <w:numPr>
          <w:ilvl w:val="0"/>
          <w:numId w:val="4"/>
        </w:numPr>
        <w:spacing w:after="60" w:line="360" w:lineRule="auto"/>
      </w:pPr>
      <w:r>
        <w:rPr>
          <w:rFonts w:ascii="Arial Narrow" w:hAnsi="Arial Narrow" w:cs="Times New Roman"/>
          <w:b/>
          <w:color w:val="00000A"/>
          <w:sz w:val="24"/>
          <w:szCs w:val="24"/>
        </w:rPr>
        <w:t>Wintrobe's Clinical Hematology</w:t>
      </w:r>
      <w:r>
        <w:rPr>
          <w:rFonts w:ascii="Arial Narrow" w:hAnsi="Arial Narrow" w:cs="Times New Roman"/>
          <w:color w:val="00000A"/>
          <w:sz w:val="24"/>
          <w:szCs w:val="24"/>
        </w:rPr>
        <w:t xml:space="preserve">, </w:t>
      </w:r>
      <w:hyperlink r:id="rId10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John P. Greer 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>,  </w:t>
      </w:r>
      <w:hyperlink r:id="rId11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Daniel A. Arber 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>,  </w:t>
      </w:r>
      <w:hyperlink r:id="rId12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Bertil E. Glader 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>, </w:t>
      </w:r>
      <w:hyperlink r:id="rId13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Alan F. List 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 xml:space="preserve">, </w:t>
      </w:r>
      <w:hyperlink r:id="rId14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Robert T. Means 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>, </w:t>
      </w:r>
      <w:hyperlink r:id="rId15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George M. Rodgers</w:t>
        </w:r>
      </w:hyperlink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 xml:space="preserve">, </w:t>
      </w:r>
      <w:hyperlink r:id="rId16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  <w:shd w:val="clear" w:color="auto" w:fill="FFFFFF"/>
          </w:rPr>
          <w:t>Lippincott Williams and Wilkins</w:t>
        </w:r>
      </w:hyperlink>
      <w:r>
        <w:rPr>
          <w:rFonts w:ascii="Arial Narrow" w:hAnsi="Arial Narrow" w:cs="Times New Roman"/>
          <w:color w:val="00000A"/>
          <w:sz w:val="24"/>
          <w:szCs w:val="24"/>
        </w:rPr>
        <w:t>, dec. 2018</w:t>
      </w:r>
    </w:p>
    <w:p w14:paraId="3829E93D" w14:textId="77777777" w:rsidR="003C4D60" w:rsidRDefault="005B4B15">
      <w:pPr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Hematologie clinica</w:t>
      </w:r>
      <w:r>
        <w:rPr>
          <w:rFonts w:ascii="Arial Narrow" w:hAnsi="Arial Narrow" w:cs="Times New Roman"/>
          <w:b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Note de curs, Delia Mut Popescu, Editura Medicala, editia II, anul, 2003</w:t>
      </w:r>
    </w:p>
    <w:p w14:paraId="3AE58F85" w14:textId="77777777" w:rsidR="003C4D60" w:rsidRDefault="005B4B15">
      <w:pPr>
        <w:pStyle w:val="Heading1"/>
        <w:keepLines w:val="0"/>
        <w:numPr>
          <w:ilvl w:val="0"/>
          <w:numId w:val="4"/>
        </w:numPr>
        <w:shd w:val="clear" w:color="auto" w:fill="FFFFFF"/>
        <w:spacing w:before="0" w:after="225" w:line="360" w:lineRule="auto"/>
      </w:pPr>
      <w:r>
        <w:rPr>
          <w:rFonts w:ascii="Arial Narrow" w:hAnsi="Arial Narrow" w:cs="Times New Roman"/>
          <w:b/>
          <w:color w:val="00000A"/>
          <w:sz w:val="24"/>
          <w:szCs w:val="24"/>
        </w:rPr>
        <w:t>Hoffbrand's Essential Haematology</w:t>
      </w:r>
      <w:r>
        <w:rPr>
          <w:rFonts w:ascii="Arial Narrow" w:hAnsi="Arial Narrow" w:cs="Times New Roman"/>
          <w:color w:val="00000A"/>
          <w:sz w:val="24"/>
          <w:szCs w:val="24"/>
        </w:rPr>
        <w:t xml:space="preserve">, </w:t>
      </w:r>
      <w:hyperlink r:id="rId17" w:anchor="/dfclassic/query_name=match_and&amp;query=Hoffbrand A. Victor" w:history="1">
        <w:r>
          <w:rPr>
            <w:rStyle w:val="LegturInternet"/>
            <w:rFonts w:ascii="Arial Narrow" w:hAnsi="Arial Narrow" w:cs="Times New Roman"/>
            <w:bCs/>
            <w:color w:val="00000A"/>
            <w:sz w:val="24"/>
            <w:szCs w:val="24"/>
          </w:rPr>
          <w:t>Hoffbrand A. Victor</w:t>
        </w:r>
      </w:hyperlink>
      <w:r>
        <w:rPr>
          <w:rFonts w:ascii="Arial Narrow" w:hAnsi="Arial Narrow" w:cs="Times New Roman"/>
          <w:bCs/>
          <w:color w:val="00000A"/>
          <w:sz w:val="24"/>
          <w:szCs w:val="24"/>
        </w:rPr>
        <w:t>, Wiley-Blackwell, 2015</w:t>
      </w:r>
    </w:p>
    <w:p w14:paraId="13BFAA4D" w14:textId="77777777" w:rsidR="003C4D60" w:rsidRDefault="005B4B15">
      <w:pPr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Imunologia transplantului</w:t>
      </w:r>
      <w:r>
        <w:rPr>
          <w:rFonts w:ascii="Arial Narrow" w:hAnsi="Arial Narrow" w:cs="Times New Roman"/>
          <w:sz w:val="24"/>
          <w:szCs w:val="24"/>
        </w:rPr>
        <w:t>, Ileana Constantinescu, Editura Universitara Carol Davila, 2009</w:t>
      </w:r>
    </w:p>
    <w:p w14:paraId="3AF4FC4D" w14:textId="77777777" w:rsidR="003C4D60" w:rsidRDefault="005B4B15">
      <w:pPr>
        <w:pStyle w:val="Heading1"/>
        <w:keepLines w:val="0"/>
        <w:numPr>
          <w:ilvl w:val="0"/>
          <w:numId w:val="4"/>
        </w:numPr>
        <w:shd w:val="clear" w:color="auto" w:fill="FFFFFF"/>
        <w:spacing w:before="0" w:after="75" w:line="360" w:lineRule="auto"/>
        <w:rPr>
          <w:rFonts w:ascii="Arial Narrow" w:hAnsi="Arial Narrow" w:cs="Times New Roman"/>
          <w:bCs/>
          <w:color w:val="00000A"/>
          <w:sz w:val="24"/>
          <w:szCs w:val="24"/>
        </w:rPr>
      </w:pPr>
      <w:r>
        <w:rPr>
          <w:rFonts w:ascii="Arial Narrow" w:hAnsi="Arial Narrow" w:cs="Times New Roman"/>
          <w:b/>
          <w:color w:val="00000A"/>
          <w:sz w:val="24"/>
          <w:szCs w:val="24"/>
        </w:rPr>
        <w:t>Imunologie si imunopatologie</w:t>
      </w:r>
      <w:r>
        <w:rPr>
          <w:rFonts w:ascii="Arial Narrow" w:hAnsi="Arial Narrow" w:cs="Times New Roman"/>
          <w:bCs/>
          <w:color w:val="00000A"/>
          <w:sz w:val="24"/>
          <w:szCs w:val="24"/>
        </w:rPr>
        <w:t>, Grigore Mihaescu, Carmen Chifiriuc, Editura Medicala, 2015</w:t>
      </w:r>
    </w:p>
    <w:p w14:paraId="637FF5E1" w14:textId="77777777" w:rsidR="003C4D60" w:rsidRDefault="005B4B15">
      <w:pPr>
        <w:pStyle w:val="Heading1"/>
        <w:keepLines w:val="0"/>
        <w:numPr>
          <w:ilvl w:val="0"/>
          <w:numId w:val="4"/>
        </w:numPr>
        <w:shd w:val="clear" w:color="auto" w:fill="FFFFFF"/>
        <w:spacing w:before="0" w:after="90" w:line="360" w:lineRule="auto"/>
      </w:pPr>
      <w:r>
        <w:rPr>
          <w:rFonts w:ascii="Arial Narrow" w:hAnsi="Arial Narrow" w:cs="Times New Roman"/>
          <w:b/>
          <w:color w:val="00000A"/>
          <w:sz w:val="24"/>
          <w:szCs w:val="24"/>
        </w:rPr>
        <w:t>Roitt's Essential Immunology</w:t>
      </w:r>
      <w:r>
        <w:rPr>
          <w:rFonts w:ascii="Arial Narrow" w:hAnsi="Arial Narrow" w:cs="Times New Roman"/>
          <w:color w:val="00000A"/>
          <w:sz w:val="24"/>
          <w:szCs w:val="24"/>
        </w:rPr>
        <w:t xml:space="preserve">, 13th Edition, </w:t>
      </w:r>
      <w:hyperlink r:id="rId18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Peter J. Delves</w:t>
        </w:r>
      </w:hyperlink>
      <w:r>
        <w:rPr>
          <w:rFonts w:ascii="Arial Narrow" w:hAnsi="Arial Narrow" w:cs="Times New Roman"/>
          <w:color w:val="00000A"/>
          <w:sz w:val="24"/>
          <w:szCs w:val="24"/>
        </w:rPr>
        <w:t>, </w:t>
      </w:r>
      <w:hyperlink r:id="rId19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Seamus J. Martin</w:t>
        </w:r>
      </w:hyperlink>
      <w:r>
        <w:rPr>
          <w:rFonts w:ascii="Arial Narrow" w:hAnsi="Arial Narrow" w:cs="Times New Roman"/>
          <w:color w:val="00000A"/>
          <w:sz w:val="24"/>
          <w:szCs w:val="24"/>
        </w:rPr>
        <w:t>, </w:t>
      </w:r>
      <w:hyperlink r:id="rId20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Dennis R. Burton</w:t>
        </w:r>
      </w:hyperlink>
      <w:r>
        <w:rPr>
          <w:rFonts w:ascii="Arial Narrow" w:hAnsi="Arial Narrow" w:cs="Times New Roman"/>
          <w:color w:val="00000A"/>
          <w:sz w:val="24"/>
          <w:szCs w:val="24"/>
        </w:rPr>
        <w:t>, </w:t>
      </w:r>
      <w:hyperlink r:id="rId21">
        <w:r>
          <w:rPr>
            <w:rStyle w:val="LegturInternet"/>
            <w:rFonts w:ascii="Arial Narrow" w:hAnsi="Arial Narrow" w:cs="Times New Roman"/>
            <w:color w:val="00000A"/>
            <w:sz w:val="24"/>
            <w:szCs w:val="24"/>
          </w:rPr>
          <w:t>Ivan M. Roitt</w:t>
        </w:r>
      </w:hyperlink>
      <w:r>
        <w:rPr>
          <w:rFonts w:ascii="Arial Narrow" w:hAnsi="Arial Narrow" w:cs="Times New Roman"/>
          <w:color w:val="00000A"/>
          <w:sz w:val="24"/>
          <w:szCs w:val="24"/>
        </w:rPr>
        <w:t xml:space="preserve">, </w:t>
      </w:r>
      <w:r>
        <w:rPr>
          <w:rStyle w:val="a-color-secondary"/>
          <w:rFonts w:ascii="Arial Narrow" w:hAnsi="Arial Narrow" w:cs="Times New Roman"/>
          <w:bCs/>
          <w:color w:val="00000A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Times New Roman"/>
          <w:color w:val="00000A"/>
          <w:sz w:val="24"/>
          <w:szCs w:val="24"/>
          <w:shd w:val="clear" w:color="auto" w:fill="FFFFFF"/>
        </w:rPr>
        <w:t>Wiley-Blackwell</w:t>
      </w:r>
      <w:r>
        <w:rPr>
          <w:rFonts w:ascii="Arial Narrow" w:hAnsi="Arial Narrow" w:cs="Times New Roman"/>
          <w:bCs/>
          <w:color w:val="00000A"/>
          <w:sz w:val="24"/>
          <w:szCs w:val="24"/>
          <w:shd w:val="clear" w:color="auto" w:fill="FFFFFF"/>
        </w:rPr>
        <w:t>, 2017</w:t>
      </w:r>
    </w:p>
    <w:p w14:paraId="3F08A5C2" w14:textId="77777777" w:rsidR="003C4D60" w:rsidRDefault="005B4B15">
      <w:pPr>
        <w:pStyle w:val="Footer"/>
        <w:tabs>
          <w:tab w:val="left" w:pos="90"/>
        </w:tabs>
        <w:spacing w:line="360" w:lineRule="auto"/>
      </w:pPr>
      <w:r>
        <w:rPr>
          <w:rFonts w:ascii="Arial Narrow" w:hAnsi="Arial Narrow" w:cs="Times New Roman"/>
          <w:b/>
          <w:bCs/>
          <w:sz w:val="24"/>
          <w:szCs w:val="24"/>
        </w:rPr>
        <w:t>Clinical Immunology, Principles and Practice</w:t>
      </w:r>
      <w:r>
        <w:rPr>
          <w:rFonts w:ascii="Arial Narrow" w:hAnsi="Arial Narrow" w:cs="Times New Roman"/>
          <w:bCs/>
          <w:sz w:val="24"/>
          <w:szCs w:val="24"/>
        </w:rPr>
        <w:t xml:space="preserve">, 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Robert Rich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Thomas Fleisher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William Shearer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Harry Schroeder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Anthony Frew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> </w:t>
      </w:r>
      <w:r>
        <w:rPr>
          <w:rStyle w:val="inline"/>
          <w:rFonts w:ascii="Arial Narrow" w:hAnsi="Arial Narrow" w:cs="Times New Roman"/>
          <w:sz w:val="24"/>
          <w:szCs w:val="24"/>
          <w:shd w:val="clear" w:color="auto" w:fill="FFFFFF"/>
        </w:rPr>
        <w:t>Cornelia Weyand, editia 5, Elsevier, 2019</w:t>
      </w:r>
    </w:p>
    <w:p w14:paraId="2E9CCB17" w14:textId="3C6F7AB4" w:rsidR="003C4D60" w:rsidRPr="00A40660" w:rsidRDefault="005B4B15">
      <w:pPr>
        <w:spacing w:after="120" w:line="20" w:lineRule="atLeast"/>
        <w:jc w:val="both"/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</w:pPr>
      <w:r w:rsidRPr="00A40660">
        <w:rPr>
          <w:rFonts w:ascii="Arial Narrow" w:hAnsi="Arial Narrow" w:cs="Arial"/>
          <w:b/>
          <w:bCs/>
          <w:color w:val="auto"/>
          <w:sz w:val="24"/>
          <w:szCs w:val="24"/>
          <w:shd w:val="clear" w:color="auto" w:fill="FFFFFF"/>
        </w:rPr>
        <w:t>Ordinul MSP 1301 din 20 iulie 2007</w:t>
      </w:r>
      <w:r w:rsidRPr="00A40660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 xml:space="preserve"> pentru aprobarea Normelor privind funcționarea laboratoarelor de analize medicale, publicat în MONITORUL OFICIAL nr. 617 din 6 septembrie 2007, cu modificările și completările ulterioare https://legislatie.just.ro/Public/DetaliiDocument/85155</w:t>
      </w:r>
    </w:p>
    <w:p w14:paraId="5027EC66" w14:textId="761ED9CB" w:rsidR="003C4D60" w:rsidRPr="00A40660" w:rsidRDefault="005B4B15">
      <w:pPr>
        <w:spacing w:after="120" w:line="20" w:lineRule="atLeast"/>
        <w:jc w:val="both"/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</w:pPr>
      <w:r w:rsidRPr="00A40660">
        <w:rPr>
          <w:rFonts w:ascii="Arial Narrow" w:hAnsi="Arial Narrow" w:cs="Arial"/>
          <w:b/>
          <w:bCs/>
          <w:color w:val="auto"/>
          <w:sz w:val="24"/>
          <w:szCs w:val="24"/>
          <w:shd w:val="clear" w:color="auto" w:fill="FFFFFF"/>
        </w:rPr>
        <w:t>SR EN ISO 15189</w:t>
      </w:r>
      <w:r w:rsidRPr="00A40660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 xml:space="preserve"> – Laboratoare medicale. Cerințe pentru calitate și competență, </w:t>
      </w:r>
      <w:r w:rsidR="00A40660" w:rsidRPr="00A40660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>versiunea actualizată</w:t>
      </w:r>
    </w:p>
    <w:p w14:paraId="26A4E3FE" w14:textId="59D4EDB9" w:rsidR="003C4D60" w:rsidRPr="00A40660" w:rsidRDefault="005B4B15">
      <w:pPr>
        <w:spacing w:after="120" w:line="20" w:lineRule="atLeast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A40660">
        <w:rPr>
          <w:rFonts w:ascii="Arial Narrow" w:hAnsi="Arial Narrow" w:cs="Arial"/>
          <w:b/>
          <w:bCs/>
          <w:color w:val="auto"/>
          <w:sz w:val="24"/>
          <w:szCs w:val="24"/>
          <w:shd w:val="clear" w:color="auto" w:fill="FFFFFF"/>
        </w:rPr>
        <w:t>Ghidul național de biosiguranță pentru laboratoarele medicale</w:t>
      </w:r>
      <w:r w:rsidRPr="00A40660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>, Ministerul Sănătății, 2005</w:t>
      </w:r>
      <w:r w:rsidR="00A40660" w:rsidRPr="00A40660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 xml:space="preserve"> sau versiunea actualizată</w:t>
      </w:r>
    </w:p>
    <w:sectPr w:rsidR="003C4D60" w:rsidRPr="00A40660">
      <w:pgSz w:w="12240" w:h="15840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60405020304"/>
    <w:charset w:val="01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C05E0"/>
    <w:multiLevelType w:val="multilevel"/>
    <w:tmpl w:val="10829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F609DC"/>
    <w:multiLevelType w:val="multilevel"/>
    <w:tmpl w:val="DD4C3B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E1999"/>
    <w:multiLevelType w:val="multilevel"/>
    <w:tmpl w:val="67C2D5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70B5171"/>
    <w:multiLevelType w:val="multilevel"/>
    <w:tmpl w:val="38E27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44F35"/>
    <w:multiLevelType w:val="multilevel"/>
    <w:tmpl w:val="C630B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67C90"/>
    <w:multiLevelType w:val="multilevel"/>
    <w:tmpl w:val="CE868420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596598616">
    <w:abstractNumId w:val="2"/>
  </w:num>
  <w:num w:numId="2" w16cid:durableId="1558397933">
    <w:abstractNumId w:val="5"/>
  </w:num>
  <w:num w:numId="3" w16cid:durableId="203032179">
    <w:abstractNumId w:val="6"/>
  </w:num>
  <w:num w:numId="4" w16cid:durableId="1054157856">
    <w:abstractNumId w:val="1"/>
  </w:num>
  <w:num w:numId="5" w16cid:durableId="1544975918">
    <w:abstractNumId w:val="4"/>
  </w:num>
  <w:num w:numId="6" w16cid:durableId="940722345">
    <w:abstractNumId w:val="3"/>
  </w:num>
  <w:num w:numId="7" w16cid:durableId="20604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60"/>
    <w:rsid w:val="0013036B"/>
    <w:rsid w:val="001F2BA0"/>
    <w:rsid w:val="00230AAE"/>
    <w:rsid w:val="00251FA7"/>
    <w:rsid w:val="002C1C3F"/>
    <w:rsid w:val="002D0A65"/>
    <w:rsid w:val="003C4D60"/>
    <w:rsid w:val="00425531"/>
    <w:rsid w:val="00446176"/>
    <w:rsid w:val="004C66AC"/>
    <w:rsid w:val="00505F9F"/>
    <w:rsid w:val="005A0671"/>
    <w:rsid w:val="005B4B15"/>
    <w:rsid w:val="005F1018"/>
    <w:rsid w:val="00600A30"/>
    <w:rsid w:val="00694C41"/>
    <w:rsid w:val="006B01AF"/>
    <w:rsid w:val="00736619"/>
    <w:rsid w:val="007C18FF"/>
    <w:rsid w:val="00863DAA"/>
    <w:rsid w:val="009A32FE"/>
    <w:rsid w:val="00A40660"/>
    <w:rsid w:val="00B042AA"/>
    <w:rsid w:val="00B11993"/>
    <w:rsid w:val="00BE568B"/>
    <w:rsid w:val="00C247FD"/>
    <w:rsid w:val="00C32633"/>
    <w:rsid w:val="00D34039"/>
    <w:rsid w:val="00D612B9"/>
    <w:rsid w:val="00D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C03D"/>
  <w15:docId w15:val="{AFCF69E0-05DA-4522-BB87-15E6CC4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2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Stiltitlu"/>
    <w:pPr>
      <w:outlineLvl w:val="1"/>
    </w:pPr>
  </w:style>
  <w:style w:type="paragraph" w:styleId="Heading3">
    <w:name w:val="heading 3"/>
    <w:basedOn w:val="Stiltitlu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6B4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C35A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C35A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C35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C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2329"/>
    <w:rPr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qFormat/>
    <w:rsid w:val="009C2329"/>
    <w:rPr>
      <w:color w:val="0000FF"/>
      <w:u w:val="single"/>
    </w:rPr>
  </w:style>
  <w:style w:type="character" w:customStyle="1" w:styleId="a-size-extra-large">
    <w:name w:val="a-size-extra-large"/>
    <w:qFormat/>
    <w:rsid w:val="009C2329"/>
  </w:style>
  <w:style w:type="character" w:customStyle="1" w:styleId="a-color-secondary">
    <w:name w:val="a-color-secondary"/>
    <w:qFormat/>
    <w:rsid w:val="009C2329"/>
  </w:style>
  <w:style w:type="character" w:customStyle="1" w:styleId="inline">
    <w:name w:val="inline"/>
    <w:qFormat/>
    <w:rsid w:val="009C2329"/>
  </w:style>
  <w:style w:type="character" w:customStyle="1" w:styleId="descrlabel">
    <w:name w:val="descr_label"/>
    <w:qFormat/>
    <w:rsid w:val="009C2329"/>
  </w:style>
  <w:style w:type="character" w:styleId="FollowedHyperlink">
    <w:name w:val="FollowedHyperlink"/>
    <w:basedOn w:val="DefaultParagraphFont"/>
    <w:uiPriority w:val="99"/>
    <w:semiHidden/>
    <w:unhideWhenUsed/>
    <w:qFormat/>
    <w:rsid w:val="002D530B"/>
    <w:rPr>
      <w:color w:val="954F72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paragraph" w:customStyle="1" w:styleId="Stiltitlu">
    <w:name w:val="Stil titlu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02C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6B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C35A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C35AE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7346D8"/>
    <w:pPr>
      <w:spacing w:beforeAutospacing="1" w:afterAutospacing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C2329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paragraph" w:styleId="Quote">
    <w:name w:val="Quote"/>
    <w:basedOn w:val="Normal"/>
    <w:qFormat/>
  </w:style>
  <w:style w:type="paragraph" w:styleId="Title">
    <w:name w:val="Title"/>
    <w:basedOn w:val="Stiltitlu"/>
  </w:style>
  <w:style w:type="paragraph" w:styleId="Subtitle">
    <w:name w:val="Subtitle"/>
    <w:basedOn w:val="Stiltitlu"/>
  </w:style>
  <w:style w:type="character" w:styleId="Hyperlink">
    <w:name w:val="Hyperlink"/>
    <w:basedOn w:val="DefaultParagraphFont"/>
    <w:uiPriority w:val="99"/>
    <w:unhideWhenUsed/>
    <w:qFormat/>
    <w:rsid w:val="00B11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express.ro/john-w-baynes/c/107966610" TargetMode="External"/><Relationship Id="rId13" Type="http://schemas.openxmlformats.org/officeDocument/2006/relationships/hyperlink" Target="https://www.bookdepository.com/author/Alan-F-List" TargetMode="External"/><Relationship Id="rId18" Type="http://schemas.openxmlformats.org/officeDocument/2006/relationships/hyperlink" Target="https://www.wiley.com/en-us/search?pq=|relevance|author%3APeter+J.+Delv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ley.com/en-us/search?pq=|relevance|author%3AIvan+M.+Roitt" TargetMode="External"/><Relationship Id="rId7" Type="http://schemas.openxmlformats.org/officeDocument/2006/relationships/hyperlink" Target="https://www.librariadelfin.ro/autor/valeriu-atanasiu-maria-mohora-carmen-duta-marilena-gilca-corina-muscurel-codruta-popa-bogdana-virgolici--i22578" TargetMode="External"/><Relationship Id="rId12" Type="http://schemas.openxmlformats.org/officeDocument/2006/relationships/hyperlink" Target="https://www.bookdepository.com/author/Bertil-E-Glader" TargetMode="External"/><Relationship Id="rId17" Type="http://schemas.openxmlformats.org/officeDocument/2006/relationships/hyperlink" Target="https://www.enbook.ro/catalog/product/view/id/322542?gclid=EAIaIQobChMIquPVx7uJ5QIVx8CyCh0ndw_8EAQYBSABEgLP2fD_Bw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depository.com/publishers/Lippincott-Williams-and-Wilkins" TargetMode="External"/><Relationship Id="rId20" Type="http://schemas.openxmlformats.org/officeDocument/2006/relationships/hyperlink" Target="https://www.wiley.com/en-us/search?pq=|relevance|author%3ADennis+R.+Burt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express.ro/william-h-simmons/c/916359" TargetMode="External"/><Relationship Id="rId11" Type="http://schemas.openxmlformats.org/officeDocument/2006/relationships/hyperlink" Target="https://www.bookdepository.com/author/Daniel-A-Arber" TargetMode="External"/><Relationship Id="rId5" Type="http://schemas.openxmlformats.org/officeDocument/2006/relationships/hyperlink" Target="https://www.books-express.ro/gerhard-meisenberg/c/916358" TargetMode="External"/><Relationship Id="rId15" Type="http://schemas.openxmlformats.org/officeDocument/2006/relationships/hyperlink" Target="https://www.bookdepository.com/author/George-M-Rodg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okdepository.com/author/John-P-Greer" TargetMode="External"/><Relationship Id="rId19" Type="http://schemas.openxmlformats.org/officeDocument/2006/relationships/hyperlink" Target="https://www.wiley.com/en-us/search?pq=|relevance|author%3ASeamus+J.+Mar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s-express.ro/marek-h-dominiczak/c/1833167" TargetMode="External"/><Relationship Id="rId14" Type="http://schemas.openxmlformats.org/officeDocument/2006/relationships/hyperlink" Target="https://www.bookdepository.com/author/Robert-T-Mea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CCAMF</dc:creator>
  <cp:lastModifiedBy>SINGEORGEAN EUGEN</cp:lastModifiedBy>
  <cp:revision>2</cp:revision>
  <dcterms:created xsi:type="dcterms:W3CDTF">2025-02-10T08:44:00Z</dcterms:created>
  <dcterms:modified xsi:type="dcterms:W3CDTF">2025-02-10T08:44:00Z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